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center"/>
        <w:rPr>
          <w:rFonts w:ascii="方正小标宋_GBK" w:cs="方正小标宋_GBK" w:eastAsia="方正小标宋_GBK" w:hAnsi="方正小标宋_GBK" w:hint="eastAsia"/>
          <w:color w:val="auto"/>
          <w:spacing w:val="-20"/>
          <w:sz w:val="44"/>
          <w:szCs w:val="44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center"/>
        <w:textAlignment w:val="auto"/>
        <w:rPr>
          <w:rFonts w:ascii="方正小标宋_GBK" w:cs="方正小标宋_GBK" w:eastAsia="方正小标宋_GBK" w:hAnsi="方正小标宋_GBK" w:hint="eastAsia"/>
          <w:color w:val="auto"/>
          <w:spacing w:val="-20"/>
          <w:sz w:val="44"/>
          <w:szCs w:val="44"/>
          <w:lang w:eastAsia="zh-CN"/>
        </w:rPr>
      </w:pPr>
      <w:r>
        <w:rPr>
          <w:rFonts w:ascii="方正小标宋_GBK" w:cs="方正小标宋_GBK" w:eastAsia="方正小标宋_GBK" w:hAnsi="方正小标宋_GBK" w:hint="eastAsia"/>
          <w:color w:val="auto"/>
          <w:spacing w:val="-20"/>
          <w:sz w:val="44"/>
          <w:szCs w:val="44"/>
        </w:rPr>
        <w:t>关于</w:t>
      </w:r>
      <w:r>
        <w:rPr>
          <w:rFonts w:ascii="方正小标宋_GBK" w:cs="方正小标宋_GBK" w:eastAsia="方正小标宋_GBK" w:hAnsi="方正小标宋_GBK" w:hint="eastAsia"/>
          <w:color w:val="auto"/>
          <w:spacing w:val="-20"/>
          <w:sz w:val="44"/>
          <w:szCs w:val="44"/>
          <w:lang w:eastAsia="zh-CN"/>
        </w:rPr>
        <w:t>开展</w:t>
      </w:r>
      <w:r>
        <w:rPr>
          <w:rFonts w:ascii="方正小标宋_GBK" w:cs="方正小标宋_GBK" w:eastAsia="方正小标宋_GBK" w:hAnsi="方正小标宋_GBK" w:hint="eastAsia"/>
          <w:color w:val="auto"/>
          <w:spacing w:val="-20"/>
          <w:sz w:val="44"/>
          <w:szCs w:val="44"/>
          <w:lang w:val="en-US" w:eastAsia="zh-CN"/>
        </w:rPr>
        <w:t>青岛市</w:t>
      </w:r>
      <w:r>
        <w:rPr>
          <w:rFonts w:ascii="方正小标宋_GBK" w:cs="方正小标宋_GBK" w:eastAsia="方正小标宋_GBK" w:hAnsi="方正小标宋_GBK" w:hint="eastAsia"/>
          <w:color w:val="auto"/>
          <w:spacing w:val="-20"/>
          <w:sz w:val="44"/>
          <w:szCs w:val="44"/>
        </w:rPr>
        <w:t>202</w:t>
      </w:r>
      <w:r>
        <w:rPr>
          <w:rFonts w:ascii="方正小标宋_GBK" w:cs="方正小标宋_GBK" w:eastAsia="方正小标宋_GBK" w:hAnsi="方正小标宋_GBK" w:hint="eastAsia"/>
          <w:color w:val="auto"/>
          <w:spacing w:val="-20"/>
          <w:sz w:val="44"/>
          <w:szCs w:val="44"/>
          <w:lang w:val="en-US" w:eastAsia="zh-CN"/>
        </w:rPr>
        <w:t>1</w:t>
      </w:r>
      <w:r>
        <w:rPr>
          <w:rFonts w:ascii="方正小标宋_GBK" w:cs="方正小标宋_GBK" w:eastAsia="方正小标宋_GBK" w:hAnsi="方正小标宋_GBK" w:hint="eastAsia"/>
          <w:color w:val="auto"/>
          <w:spacing w:val="-20"/>
          <w:sz w:val="44"/>
          <w:szCs w:val="44"/>
        </w:rPr>
        <w:t>年</w:t>
      </w:r>
      <w:r>
        <w:rPr>
          <w:rFonts w:ascii="方正小标宋_GBK" w:cs="方正小标宋_GBK" w:eastAsia="方正小标宋_GBK" w:hAnsi="方正小标宋_GBK" w:hint="eastAsia"/>
          <w:color w:val="auto"/>
          <w:spacing w:val="-20"/>
          <w:sz w:val="44"/>
          <w:szCs w:val="44"/>
          <w:lang w:eastAsia="zh-CN"/>
        </w:rPr>
        <w:t>第</w:t>
      </w:r>
      <w:r>
        <w:rPr>
          <w:rFonts w:ascii="方正小标宋_GBK" w:cs="方正小标宋_GBK" w:eastAsia="方正小标宋_GBK" w:hAnsi="方正小标宋_GBK" w:hint="default"/>
          <w:color w:val="auto"/>
          <w:spacing w:val="-20"/>
          <w:sz w:val="44"/>
          <w:szCs w:val="44"/>
          <w:lang w:val="en-US" w:eastAsia="zh-CN"/>
        </w:rPr>
        <w:t>二</w:t>
      </w:r>
      <w:r>
        <w:rPr>
          <w:rFonts w:ascii="方正小标宋_GBK" w:cs="方正小标宋_GBK" w:eastAsia="方正小标宋_GBK" w:hAnsi="方正小标宋_GBK" w:hint="eastAsia"/>
          <w:color w:val="auto"/>
          <w:spacing w:val="-20"/>
          <w:sz w:val="44"/>
          <w:szCs w:val="44"/>
          <w:lang w:eastAsia="zh-CN"/>
        </w:rPr>
        <w:t>次</w:t>
      </w:r>
      <w:r>
        <w:rPr>
          <w:rFonts w:ascii="方正小标宋_GBK" w:cs="方正小标宋_GBK" w:eastAsia="方正小标宋_GBK" w:hAnsi="方正小标宋_GBK" w:hint="eastAsia"/>
          <w:color w:val="auto"/>
          <w:spacing w:val="-20"/>
          <w:sz w:val="44"/>
          <w:szCs w:val="44"/>
        </w:rPr>
        <w:t>博士后</w:t>
      </w:r>
      <w:r>
        <w:rPr>
          <w:rFonts w:ascii="方正小标宋_GBK" w:cs="方正小标宋_GBK" w:eastAsia="方正小标宋_GBK" w:hAnsi="方正小标宋_GBK" w:hint="eastAsia"/>
          <w:color w:val="auto"/>
          <w:spacing w:val="-20"/>
          <w:sz w:val="44"/>
          <w:szCs w:val="44"/>
          <w:lang w:eastAsia="zh-CN"/>
        </w:rPr>
        <w:t>资助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center"/>
        <w:textAlignment w:val="auto"/>
        <w:rPr>
          <w:rFonts w:ascii="方正小标宋_GBK" w:cs="方正小标宋_GBK" w:eastAsia="方正小标宋_GBK" w:hAnsi="方正小标宋_GBK" w:hint="eastAsia"/>
          <w:color w:val="auto"/>
          <w:spacing w:val="-20"/>
          <w:sz w:val="44"/>
          <w:szCs w:val="44"/>
        </w:rPr>
      </w:pPr>
      <w:r>
        <w:rPr>
          <w:rFonts w:ascii="方正小标宋_GBK" w:cs="方正小标宋_GBK" w:eastAsia="方正小标宋_GBK" w:hAnsi="方正小标宋_GBK" w:hint="eastAsia"/>
          <w:color w:val="auto"/>
          <w:spacing w:val="-20"/>
          <w:sz w:val="44"/>
          <w:szCs w:val="44"/>
        </w:rPr>
        <w:t>申报工作的通知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center"/>
        <w:textAlignment w:val="auto"/>
        <w:rPr>
          <w:rFonts w:ascii="方正小标宋_GBK" w:cs="方正小标宋_GBK" w:eastAsia="方正小标宋_GBK" w:hAnsi="方正小标宋_GBK" w:hint="eastAsia"/>
          <w:color w:val="auto"/>
          <w:spacing w:val="-20"/>
          <w:sz w:val="44"/>
          <w:szCs w:val="44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left"/>
        <w:textAlignment w:val="auto"/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</w:rPr>
      </w:pP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eastAsia="zh-CN"/>
        </w:rPr>
        <w:t>各区市人力资源和社会保障局、功能区管委人事部门、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</w:rPr>
        <w:t>博士后站（基地）设立单位、出站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eastAsia="zh-CN"/>
        </w:rPr>
        <w:t>（基地）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</w:rPr>
        <w:t>博士后在青工作单位：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640" w:firstLineChars="200"/>
        <w:jc w:val="left"/>
        <w:textAlignment w:val="auto"/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</w:rPr>
      </w:pP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</w:rPr>
        <w:t>根据《关于印发&lt;青岛市博士后培养留青资助实施细则&gt;的通知》（青人社发﹝2019﹞3号）有关要求，将于近期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eastAsia="zh-CN"/>
        </w:rPr>
        <w:t>开展</w:t>
      </w:r>
      <w:r>
        <w:rPr>
          <w:rFonts w:ascii="仿宋_GB2312" w:cs="仿宋_GB2312" w:hAnsi="仿宋_GB2312" w:hint="eastAsia"/>
          <w:color w:val="auto"/>
          <w:sz w:val="32"/>
          <w:szCs w:val="32"/>
          <w:highlight w:val="none"/>
          <w:lang w:val="en-US" w:eastAsia="zh-CN"/>
        </w:rPr>
        <w:t>青岛市</w:t>
      </w:r>
      <w:r>
        <w:rPr>
          <w:rFonts w:ascii="仿宋_GB2312" w:cs="仿宋_GB2312" w:eastAsia="仿宋_GB2312" w:hAnsi="仿宋_GB2312" w:hint="default"/>
          <w:color w:val="auto"/>
          <w:sz w:val="32"/>
          <w:szCs w:val="32"/>
          <w:highlight w:val="none"/>
          <w:lang w:val="en-US" w:eastAsia="zh-CN"/>
        </w:rPr>
        <w:t>2021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val="en-US" w:eastAsia="zh-CN"/>
        </w:rPr>
        <w:t>年第</w:t>
      </w:r>
      <w:r>
        <w:rPr>
          <w:rFonts w:ascii="仿宋_GB2312" w:cs="仿宋_GB2312" w:eastAsia="仿宋_GB2312" w:hAnsi="仿宋_GB2312" w:hint="default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val="en-US" w:eastAsia="zh-CN"/>
        </w:rPr>
        <w:t>次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</w:rPr>
        <w:t>博士后资助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eastAsia="zh-CN"/>
        </w:rPr>
        <w:t>申报工作，具体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</w:rPr>
        <w:t>通知如下：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bidi w:val="false"/>
        <w:snapToGrid/>
        <w:spacing w:lineRule="exact" w:line="560"/>
        <w:ind w:firstLine="640" w:firstLineChars="200"/>
        <w:textAlignment w:val="auto"/>
        <w:rPr>
          <w:rFonts w:ascii="黑体" w:cs="仿宋_GB2312" w:eastAsia="黑体" w:hAnsi="仿宋_GB2312" w:hint="eastAsia"/>
          <w:color w:val="auto"/>
          <w:sz w:val="32"/>
          <w:szCs w:val="32"/>
          <w:highlight w:val="none"/>
          <w:lang w:val="en-US" w:eastAsia="zh-CN"/>
        </w:rPr>
      </w:pPr>
      <w:r>
        <w:rPr>
          <w:rFonts w:ascii="黑体" w:cs="仿宋_GB2312" w:eastAsia="黑体" w:hAnsi="仿宋_GB2312" w:hint="eastAsia"/>
          <w:color w:val="auto"/>
          <w:sz w:val="32"/>
          <w:szCs w:val="32"/>
          <w:highlight w:val="none"/>
          <w:lang w:eastAsia="zh-CN"/>
        </w:rPr>
        <w:t>一</w:t>
      </w:r>
      <w:r>
        <w:rPr>
          <w:rFonts w:ascii="黑体" w:cs="仿宋_GB2312" w:eastAsia="黑体" w:hAnsi="仿宋_GB2312" w:hint="eastAsia"/>
          <w:color w:val="auto"/>
          <w:sz w:val="32"/>
          <w:szCs w:val="32"/>
          <w:highlight w:val="none"/>
        </w:rPr>
        <w:t>、</w:t>
      </w:r>
      <w:r>
        <w:rPr>
          <w:rFonts w:ascii="黑体" w:cs="仿宋_GB2312" w:eastAsia="黑体" w:hAnsi="仿宋_GB2312" w:hint="eastAsia"/>
          <w:color w:val="auto"/>
          <w:sz w:val="32"/>
          <w:szCs w:val="32"/>
          <w:highlight w:val="none"/>
          <w:lang w:eastAsia="zh-CN"/>
        </w:rPr>
        <w:t>申报资助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bidi w:val="false"/>
        <w:snapToGrid/>
        <w:spacing w:lineRule="exact" w:line="560"/>
        <w:ind w:firstLine="640" w:firstLineChars="200"/>
        <w:textAlignment w:val="auto"/>
        <w:rPr>
          <w:rFonts w:ascii="黑体" w:cs="仿宋_GB2312" w:eastAsia="黑体" w:hAnsi="仿宋_GB2312" w:hint="eastAsia"/>
          <w:color w:val="auto"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eastAsia="zh-CN"/>
        </w:rPr>
        <w:t>申报资助包括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</w:rPr>
        <w:t>建站（基地）资助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</w:rPr>
        <w:t>站（基地）科研资助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</w:rPr>
        <w:t>博士后生活及住房补贴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</w:rPr>
        <w:t>博士后安家补贴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eastAsia="zh-CN"/>
        </w:rPr>
        <w:t>、博士后应用研究项目资助等五项。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bidi w:val="false"/>
        <w:snapToGrid/>
        <w:spacing w:lineRule="exact" w:line="560"/>
        <w:ind w:firstLine="640" w:firstLineChars="200"/>
        <w:textAlignment w:val="auto"/>
        <w:rPr>
          <w:rFonts w:ascii="黑体" w:cs="仿宋_GB2312" w:eastAsia="黑体" w:hAnsi="仿宋_GB2312" w:hint="eastAsia"/>
          <w:color w:val="auto"/>
          <w:sz w:val="32"/>
          <w:szCs w:val="32"/>
          <w:highlight w:val="none"/>
        </w:rPr>
      </w:pPr>
      <w:r>
        <w:rPr>
          <w:rFonts w:ascii="黑体" w:cs="仿宋_GB2312" w:eastAsia="黑体" w:hAnsi="仿宋_GB2312" w:hint="eastAsia"/>
          <w:color w:val="auto"/>
          <w:sz w:val="32"/>
          <w:szCs w:val="32"/>
          <w:highlight w:val="none"/>
          <w:lang w:eastAsia="zh-CN"/>
        </w:rPr>
        <w:t>二</w:t>
      </w:r>
      <w:r>
        <w:rPr>
          <w:rFonts w:ascii="黑体" w:cs="仿宋_GB2312" w:eastAsia="黑体" w:hAnsi="仿宋_GB2312" w:hint="eastAsia"/>
          <w:color w:val="auto"/>
          <w:sz w:val="32"/>
          <w:szCs w:val="32"/>
          <w:highlight w:val="none"/>
        </w:rPr>
        <w:t>、</w:t>
      </w:r>
      <w:r>
        <w:rPr>
          <w:rFonts w:ascii="黑体" w:cs="仿宋_GB2312" w:eastAsia="黑体" w:hAnsi="仿宋_GB2312" w:hint="eastAsia"/>
          <w:color w:val="auto"/>
          <w:sz w:val="32"/>
          <w:szCs w:val="32"/>
          <w:highlight w:val="none"/>
          <w:lang w:eastAsia="zh-CN"/>
        </w:rPr>
        <w:t>申报</w:t>
      </w:r>
      <w:r>
        <w:rPr>
          <w:rFonts w:ascii="黑体" w:cs="仿宋_GB2312" w:eastAsia="黑体" w:hAnsi="仿宋_GB2312" w:hint="eastAsia"/>
          <w:color w:val="auto"/>
          <w:sz w:val="32"/>
          <w:szCs w:val="32"/>
          <w:highlight w:val="none"/>
        </w:rPr>
        <w:t>条件</w:t>
      </w:r>
      <w:r>
        <w:rPr>
          <w:rFonts w:ascii="黑体" w:cs="仿宋_GB2312" w:eastAsia="黑体" w:hAnsi="仿宋_GB2312" w:hint="eastAsia"/>
          <w:color w:val="auto"/>
          <w:sz w:val="32"/>
          <w:szCs w:val="32"/>
          <w:highlight w:val="none"/>
          <w:lang w:eastAsia="zh-CN"/>
        </w:rPr>
        <w:t>和</w:t>
      </w:r>
      <w:r>
        <w:rPr>
          <w:rFonts w:ascii="黑体" w:cs="仿宋_GB2312" w:eastAsia="黑体" w:hAnsi="仿宋_GB2312" w:hint="eastAsia"/>
          <w:color w:val="auto"/>
          <w:sz w:val="32"/>
          <w:szCs w:val="32"/>
          <w:highlight w:val="none"/>
        </w:rPr>
        <w:t>材料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bidi w:val="false"/>
        <w:snapToGrid/>
        <w:spacing w:lineRule="exact" w:line="560"/>
        <w:ind w:firstLine="640" w:firstLineChars="200"/>
        <w:textAlignment w:val="auto"/>
        <w:rPr>
          <w:rFonts w:ascii="楷体" w:cs="仿宋_GB2312" w:eastAsia="楷体" w:hAnsi="楷体" w:hint="eastAsia"/>
          <w:color w:val="auto"/>
          <w:sz w:val="32"/>
          <w:szCs w:val="32"/>
          <w:highlight w:val="none"/>
        </w:rPr>
      </w:pPr>
      <w:r>
        <w:rPr>
          <w:rFonts w:ascii="楷体" w:cs="仿宋_GB2312" w:eastAsia="楷体" w:hAnsi="楷体" w:hint="eastAsia"/>
          <w:color w:val="auto"/>
          <w:sz w:val="32"/>
          <w:szCs w:val="32"/>
          <w:highlight w:val="none"/>
        </w:rPr>
        <w:t>（一）建站（基地）资助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bidi w:val="false"/>
        <w:snapToGrid/>
        <w:spacing w:lineRule="exact" w:line="560"/>
        <w:ind w:firstLine="640" w:firstLineChars="200"/>
        <w:textAlignment w:val="auto"/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eastAsia="zh-CN"/>
        </w:rPr>
        <w:t>2015年之后，新设立的流动站、工作站（不含分站）及基地在招收首位博士后进站并开题后，分别给予设站（基地）单位50万元、50万元、20万元的建站（基地）资助。已经申报过的不再申报。申报材料包括：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bidi w:val="false"/>
        <w:snapToGrid/>
        <w:spacing w:lineRule="exact" w:line="560"/>
        <w:ind w:firstLine="640" w:firstLineChars="200"/>
        <w:textAlignment w:val="auto"/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eastAsia="zh-CN"/>
        </w:rPr>
        <w:t>博士后进站介绍信或进站备案证明；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bidi w:val="false"/>
        <w:snapToGrid/>
        <w:spacing w:lineRule="exact" w:line="560"/>
        <w:ind w:firstLine="640" w:firstLineChars="200"/>
        <w:textAlignment w:val="auto"/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eastAsia="zh-CN"/>
        </w:rPr>
        <w:t>开题报告。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bidi w:val="false"/>
        <w:snapToGrid/>
        <w:spacing w:lineRule="exact" w:line="560"/>
        <w:ind w:firstLine="640" w:firstLineChars="200"/>
        <w:textAlignment w:val="auto"/>
        <w:rPr>
          <w:rFonts w:ascii="楷体" w:cs="仿宋_GB2312" w:eastAsia="楷体" w:hAnsi="楷体" w:hint="eastAsia"/>
          <w:color w:val="000000"/>
          <w:sz w:val="32"/>
          <w:szCs w:val="32"/>
          <w:highlight w:val="none"/>
        </w:rPr>
      </w:pPr>
      <w:r>
        <w:rPr>
          <w:rFonts w:ascii="楷体" w:cs="仿宋_GB2312" w:eastAsia="楷体" w:hAnsi="楷体" w:hint="eastAsia"/>
          <w:color w:val="000000"/>
          <w:sz w:val="32"/>
          <w:szCs w:val="32"/>
          <w:highlight w:val="none"/>
        </w:rPr>
        <w:t>（二）站(基地)科研资助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bidi w:val="false"/>
        <w:snapToGrid/>
        <w:spacing w:lineRule="exact" w:line="560"/>
        <w:ind w:firstLine="640" w:firstLineChars="200"/>
        <w:textAlignment w:val="auto"/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eastAsia="zh-CN"/>
        </w:rPr>
        <w:t>202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eastAsia="zh-CN"/>
        </w:rPr>
        <w:t>年</w:t>
      </w:r>
      <w:r>
        <w:rPr>
          <w:rFonts w:ascii="仿宋_GB2312" w:cs="仿宋_GB2312" w:hAnsi="仿宋_GB2312" w:hint="eastAsia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eastAsia="zh-CN"/>
        </w:rPr>
        <w:t>月之后，招收至少1名博士后进站后并开题的流动站、工作站、基地，每年分别给予5万元、5万元、2万元的科研资助。</w:t>
      </w:r>
      <w:r>
        <w:rPr>
          <w:rFonts w:ascii="仿宋_GB2312" w:cs="仿宋_GB2312" w:hAnsi="仿宋_GB2312" w:hint="eastAsia"/>
          <w:color w:val="000000"/>
          <w:sz w:val="32"/>
          <w:szCs w:val="32"/>
          <w:highlight w:val="none"/>
          <w:lang w:eastAsia="zh-CN"/>
        </w:rPr>
        <w:t>每个站（基地）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eastAsia="zh-CN"/>
        </w:rPr>
        <w:t>每年只能申报一次。申报材料包括：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bidi w:val="false"/>
        <w:snapToGrid/>
        <w:spacing w:lineRule="exact" w:line="560"/>
        <w:ind w:firstLine="640" w:firstLineChars="200"/>
        <w:textAlignment w:val="auto"/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eastAsia="zh-CN"/>
        </w:rPr>
        <w:t>博士后进站介绍信或进站备案证明；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bidi w:val="false"/>
        <w:snapToGrid/>
        <w:spacing w:lineRule="exact" w:line="560"/>
        <w:ind w:firstLine="640" w:firstLineChars="200"/>
        <w:textAlignment w:val="auto"/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eastAsia="zh-CN"/>
        </w:rPr>
        <w:t>开题报告。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bidi w:val="false"/>
        <w:snapToGrid/>
        <w:spacing w:lineRule="exact" w:line="560"/>
        <w:ind w:firstLine="640" w:firstLineChars="200"/>
        <w:textAlignment w:val="auto"/>
        <w:rPr>
          <w:rFonts w:ascii="楷体" w:cs="仿宋_GB2312" w:eastAsia="楷体" w:hAnsi="楷体" w:hint="eastAsia"/>
          <w:color w:val="000000"/>
          <w:sz w:val="32"/>
          <w:szCs w:val="32"/>
          <w:highlight w:val="none"/>
        </w:rPr>
      </w:pPr>
      <w:r>
        <w:rPr>
          <w:rFonts w:ascii="楷体" w:cs="仿宋_GB2312" w:eastAsia="楷体" w:hAnsi="楷体" w:hint="eastAsia"/>
          <w:color w:val="000000"/>
          <w:sz w:val="32"/>
          <w:szCs w:val="32"/>
          <w:highlight w:val="none"/>
        </w:rPr>
        <w:t>（三）博士后生活及住房补贴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bidi w:val="false"/>
        <w:snapToGrid/>
        <w:spacing w:lineRule="exact" w:line="560"/>
        <w:ind w:firstLine="640" w:firstLineChars="200"/>
        <w:textAlignment w:val="auto"/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eastAsia="zh-CN"/>
        </w:rPr>
        <w:t>在站（基地）博士后（不含在职和两年期满未出站人员），给予202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eastAsia="zh-CN"/>
        </w:rPr>
        <w:t>年</w:t>
      </w:r>
      <w:r>
        <w:rPr>
          <w:rFonts w:ascii="仿宋_GB2312" w:cs="仿宋_GB2312" w:hAnsi="仿宋_GB2312" w:hint="eastAsia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eastAsia="zh-CN"/>
        </w:rPr>
        <w:t>月至</w:t>
      </w:r>
      <w:r>
        <w:rPr>
          <w:rFonts w:ascii="仿宋_GB2312" w:cs="仿宋_GB2312" w:hAnsi="仿宋_GB2312" w:hint="eastAsia"/>
          <w:color w:val="000000"/>
          <w:sz w:val="32"/>
          <w:szCs w:val="32"/>
          <w:highlight w:val="none"/>
          <w:lang w:val="en-US" w:eastAsia="zh-CN"/>
        </w:rPr>
        <w:t>12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eastAsia="zh-CN"/>
        </w:rPr>
        <w:t>月的博士后生活及住房补贴（每月每人5000元）。以实际在站月数计算，已申报过的月份不可重复申报，自进站</w:t>
      </w:r>
      <w:r>
        <w:rPr>
          <w:rFonts w:ascii="仿宋_GB2312" w:cs="仿宋_GB2312" w:hAnsi="仿宋_GB2312" w:hint="eastAsia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ascii="仿宋_GB2312" w:cs="仿宋_GB2312" w:hAnsi="仿宋_GB2312" w:hint="eastAsia"/>
          <w:color w:val="000000"/>
          <w:sz w:val="32"/>
          <w:szCs w:val="32"/>
          <w:highlight w:val="none"/>
          <w:lang w:val="en-US" w:eastAsia="zh-CN"/>
        </w:rPr>
        <w:t>基地</w:t>
      </w:r>
      <w:r>
        <w:rPr>
          <w:rFonts w:ascii="仿宋_GB2312" w:cs="仿宋_GB2312" w:hAnsi="仿宋_GB2312" w:hint="eastAsia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eastAsia="zh-CN"/>
        </w:rPr>
        <w:t>之月起最多申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eastAsia="zh-CN"/>
        </w:rPr>
        <w:t>报24个月。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bidi w:val="false"/>
        <w:snapToGrid/>
        <w:spacing w:lineRule="exact" w:line="560"/>
        <w:ind w:firstLine="640" w:firstLineChars="200"/>
        <w:textAlignment w:val="auto"/>
        <w:rPr>
          <w:rFonts w:ascii="楷体" w:cs="仿宋_GB2312" w:eastAsia="楷体" w:hAnsi="楷体" w:hint="eastAsia"/>
          <w:color w:val="auto"/>
          <w:sz w:val="32"/>
          <w:szCs w:val="32"/>
          <w:highlight w:val="none"/>
        </w:rPr>
      </w:pPr>
      <w:r>
        <w:rPr>
          <w:rFonts w:ascii="楷体" w:cs="仿宋_GB2312" w:eastAsia="楷体" w:hAnsi="楷体" w:hint="eastAsia"/>
          <w:color w:val="auto"/>
          <w:sz w:val="32"/>
          <w:szCs w:val="32"/>
          <w:highlight w:val="none"/>
        </w:rPr>
        <w:t>（</w:t>
      </w:r>
      <w:r>
        <w:rPr>
          <w:rFonts w:ascii="楷体" w:cs="仿宋_GB2312" w:eastAsia="楷体" w:hAnsi="楷体" w:hint="eastAsia"/>
          <w:color w:val="auto"/>
          <w:sz w:val="32"/>
          <w:szCs w:val="32"/>
          <w:highlight w:val="none"/>
          <w:lang w:eastAsia="zh-CN"/>
        </w:rPr>
        <w:t>四</w:t>
      </w:r>
      <w:r>
        <w:rPr>
          <w:rFonts w:ascii="楷体" w:cs="仿宋_GB2312" w:eastAsia="楷体" w:hAnsi="楷体" w:hint="eastAsia"/>
          <w:color w:val="auto"/>
          <w:sz w:val="32"/>
          <w:szCs w:val="32"/>
          <w:highlight w:val="none"/>
        </w:rPr>
        <w:t>）博士后安家补贴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bidi w:val="false"/>
        <w:snapToGrid/>
        <w:spacing w:lineRule="exact" w:line="560"/>
        <w:ind w:firstLine="640" w:firstLineChars="200"/>
        <w:textAlignment w:val="auto"/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eastAsia="zh-CN"/>
        </w:rPr>
        <w:t>2017年1月1日之后、2018年6月6日之前出站并于出站后6个月内在青岛办理就业手续且落户在青岛（不含入站前已在青且在职人员）的博士后，给予20万元安家补贴。安家补贴分两年给付，每次支付50%。博士后留青工作满1年后，申报第1次安家补贴；留青工作满2年后，申报第2次安家补贴。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bidi w:val="false"/>
        <w:snapToGrid/>
        <w:spacing w:lineRule="exact" w:line="560"/>
        <w:ind w:firstLine="640" w:firstLineChars="200"/>
        <w:textAlignment w:val="auto"/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eastAsia="zh-CN"/>
        </w:rPr>
        <w:t>2018年6月6日之后出站并于出站后6个月内在青岛办理就业手续且落户在青岛（不含入站前已在青且在职人员）的博士后，给予其25万元安家补贴。安家补贴分两年给付，博士后留青工作满1年后，申报第1次安家补贴，为40%；留青工作满2年后，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eastAsia="zh-CN"/>
        </w:rPr>
        <w:t>申报第2次安家补贴，为60%。申报材料包括：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bidi w:val="false"/>
        <w:snapToGrid/>
        <w:spacing w:lineRule="exact" w:line="560"/>
        <w:ind w:firstLine="640" w:firstLineChars="200"/>
        <w:textAlignment w:val="auto"/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eastAsia="zh-CN"/>
        </w:rPr>
        <w:t>与工作单位订立的三年及以上期限劳动（聘用）合同；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bidi w:val="false"/>
        <w:snapToGrid/>
        <w:spacing w:lineRule="exact" w:line="560"/>
        <w:ind w:firstLine="640" w:firstLineChars="200"/>
        <w:textAlignment w:val="auto"/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eastAsia="zh-CN"/>
        </w:rPr>
        <w:t>社会保险对账单（打印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val="en-US" w:eastAsia="zh-CN"/>
        </w:rPr>
        <w:t>2020年</w:t>
      </w:r>
      <w:r>
        <w:rPr>
          <w:rFonts w:ascii="仿宋_GB2312" w:cs="仿宋_GB2312" w:hAnsi="仿宋_GB2312" w:hint="eastAsia"/>
          <w:color w:val="000000"/>
          <w:sz w:val="32"/>
          <w:szCs w:val="32"/>
          <w:highlight w:val="none"/>
          <w:lang w:val="en-US" w:eastAsia="zh-CN"/>
        </w:rPr>
        <w:t>12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val="en-US" w:eastAsia="zh-CN"/>
        </w:rPr>
        <w:t>月至2021年</w:t>
      </w:r>
      <w:r>
        <w:rPr>
          <w:rFonts w:ascii="仿宋_GB2312" w:cs="仿宋_GB2312" w:hAnsi="仿宋_GB2312" w:hint="eastAsia"/>
          <w:color w:val="000000"/>
          <w:sz w:val="32"/>
          <w:szCs w:val="32"/>
          <w:highlight w:val="none"/>
          <w:lang w:val="en-US" w:eastAsia="zh-CN"/>
        </w:rPr>
        <w:t>11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val="en-US" w:eastAsia="zh-CN"/>
        </w:rPr>
        <w:t>月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eastAsia="zh-CN"/>
        </w:rPr>
        <w:t>的社会保险缴纳证明）；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bidi w:val="false"/>
        <w:snapToGrid/>
        <w:spacing w:lineRule="exact" w:line="560"/>
        <w:ind w:firstLine="640" w:firstLineChars="200"/>
        <w:textAlignment w:val="auto"/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eastAsia="zh-CN"/>
        </w:rPr>
        <w:t>博士后进站审核表；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bidi w:val="false"/>
        <w:snapToGrid/>
        <w:spacing w:lineRule="exact" w:line="560"/>
        <w:ind w:firstLine="640" w:firstLineChars="200"/>
        <w:textAlignment w:val="auto"/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eastAsia="zh-CN"/>
        </w:rPr>
        <w:t>博士后工作期满审批表；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bidi w:val="false"/>
        <w:snapToGrid/>
        <w:spacing w:lineRule="exact" w:line="560"/>
        <w:ind w:firstLine="640" w:firstLineChars="200"/>
        <w:textAlignment w:val="auto"/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val="en-US" w:eastAsia="zh-CN"/>
        </w:rPr>
        <w:t>5.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eastAsia="zh-CN"/>
        </w:rPr>
        <w:t>户口簿等户籍相关证明材料。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bidi w:val="false"/>
        <w:snapToGrid/>
        <w:spacing w:lineRule="exact" w:line="560"/>
        <w:ind w:firstLine="640" w:firstLineChars="200"/>
        <w:textAlignment w:val="auto"/>
        <w:rPr>
          <w:color w:val="000000"/>
        </w:rPr>
      </w:pPr>
      <w:r>
        <w:rPr>
          <w:rFonts w:ascii="楷体" w:cs="仿宋_GB2312" w:eastAsia="楷体" w:hAnsi="楷体" w:hint="default"/>
          <w:color w:val="000000"/>
          <w:sz w:val="32"/>
          <w:szCs w:val="32"/>
          <w:highlight w:val="none"/>
        </w:rPr>
        <w:t>（</w:t>
      </w:r>
      <w:r>
        <w:rPr>
          <w:rFonts w:ascii="楷体" w:cs="仿宋_GB2312" w:eastAsia="楷体" w:hAnsi="楷体" w:hint="eastAsia"/>
          <w:color w:val="000000"/>
          <w:sz w:val="32"/>
          <w:szCs w:val="32"/>
          <w:highlight w:val="none"/>
          <w:lang w:eastAsia="zh-CN"/>
        </w:rPr>
        <w:t>五</w:t>
      </w:r>
      <w:r>
        <w:rPr>
          <w:rFonts w:ascii="楷体" w:cs="仿宋_GB2312" w:eastAsia="楷体" w:hAnsi="楷体" w:hint="default"/>
          <w:color w:val="000000"/>
          <w:sz w:val="32"/>
          <w:szCs w:val="32"/>
          <w:highlight w:val="none"/>
        </w:rPr>
        <w:t>）博士后应用研究项目资助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bidi w:val="false"/>
        <w:snapToGrid/>
        <w:spacing w:lineRule="exact" w:line="560"/>
        <w:ind w:firstLine="640" w:firstLineChars="200"/>
        <w:textAlignment w:val="auto"/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val="en-US" w:eastAsia="zh-CN"/>
        </w:rPr>
      </w:pPr>
      <w:r>
        <w:rPr>
          <w:rFonts w:ascii="仿宋_GB2312" w:cs="仿宋_GB2312" w:eastAsia="仿宋_GB2312" w:hAnsi="仿宋_GB2312" w:hint="default"/>
          <w:color w:val="000000"/>
          <w:sz w:val="32"/>
          <w:szCs w:val="32"/>
          <w:highlight w:val="none"/>
          <w:lang w:eastAsia="zh-CN"/>
        </w:rPr>
        <w:t>2021年</w:t>
      </w:r>
      <w:r>
        <w:rPr>
          <w:rFonts w:ascii="仿宋_GB2312" w:cs="仿宋_GB2312" w:hAnsi="仿宋_GB2312" w:hint="eastAsia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ascii="仿宋_GB2312" w:cs="仿宋_GB2312" w:eastAsia="仿宋_GB2312" w:hAnsi="仿宋_GB2312" w:hint="default"/>
          <w:color w:val="000000"/>
          <w:sz w:val="32"/>
          <w:szCs w:val="32"/>
          <w:highlight w:val="none"/>
          <w:lang w:eastAsia="zh-CN"/>
        </w:rPr>
        <w:t>月至</w:t>
      </w:r>
      <w:r>
        <w:rPr>
          <w:rFonts w:ascii="仿宋_GB2312" w:cs="仿宋_GB2312" w:hAnsi="仿宋_GB2312" w:hint="eastAsia"/>
          <w:color w:val="000000"/>
          <w:sz w:val="32"/>
          <w:szCs w:val="32"/>
          <w:highlight w:val="none"/>
          <w:lang w:val="en-US" w:eastAsia="zh-CN"/>
        </w:rPr>
        <w:t>12</w:t>
      </w:r>
      <w:r>
        <w:rPr>
          <w:rFonts w:ascii="仿宋_GB2312" w:cs="仿宋_GB2312" w:eastAsia="仿宋_GB2312" w:hAnsi="仿宋_GB2312" w:hint="default"/>
          <w:color w:val="000000"/>
          <w:sz w:val="32"/>
          <w:szCs w:val="32"/>
          <w:highlight w:val="none"/>
          <w:lang w:eastAsia="zh-CN"/>
        </w:rPr>
        <w:t>月进站（基地）的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val="en-US" w:eastAsia="zh-CN"/>
        </w:rPr>
        <w:t>申报“</w:t>
      </w:r>
      <w:r>
        <w:rPr>
          <w:rFonts w:eastAsia="仿宋_GB2312" w:hint="default"/>
          <w:color w:val="000000"/>
          <w:sz w:val="32"/>
          <w:szCs w:val="32"/>
        </w:rPr>
        <w:t>具有创新性或创业前景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val="en-US" w:eastAsia="zh-CN"/>
        </w:rPr>
        <w:t>”</w:t>
      </w:r>
      <w:r>
        <w:rPr>
          <w:rFonts w:ascii="仿宋_GB2312" w:cs="仿宋_GB2312" w:eastAsia="仿宋_GB2312" w:hAnsi="仿宋_GB2312" w:hint="default"/>
          <w:color w:val="000000"/>
          <w:sz w:val="32"/>
          <w:szCs w:val="32"/>
          <w:highlight w:val="none"/>
          <w:lang w:eastAsia="zh-CN"/>
        </w:rPr>
        <w:t>博士后应用研究项目资助的博士后，经单位从中择优推荐，</w:t>
      </w:r>
      <w:r>
        <w:rPr>
          <w:rFonts w:ascii="仿宋_GB2312" w:cs="仿宋_GB2312" w:hAnsi="仿宋_GB2312" w:hint="eastAsia"/>
          <w:color w:val="000000"/>
          <w:sz w:val="32"/>
          <w:szCs w:val="32"/>
          <w:highlight w:val="none"/>
          <w:lang w:val="en-US" w:eastAsia="zh-CN"/>
        </w:rPr>
        <w:t>并</w:t>
      </w:r>
      <w:r>
        <w:rPr>
          <w:rFonts w:ascii="仿宋_GB2312" w:cs="仿宋_GB2312" w:eastAsia="仿宋_GB2312" w:hAnsi="仿宋_GB2312" w:hint="default"/>
          <w:color w:val="000000"/>
          <w:sz w:val="32"/>
          <w:szCs w:val="32"/>
          <w:highlight w:val="none"/>
          <w:lang w:eastAsia="zh-CN"/>
        </w:rPr>
        <w:t>经专家评审通过后</w:t>
      </w:r>
      <w:r>
        <w:rPr>
          <w:rFonts w:ascii="仿宋_GB2312" w:cs="仿宋_GB2312" w:hAnsi="仿宋_GB2312" w:hint="eastAsia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ascii="仿宋_GB2312" w:cs="仿宋_GB2312" w:eastAsia="仿宋_GB2312" w:hAnsi="仿宋_GB2312" w:hint="default"/>
          <w:color w:val="000000"/>
          <w:sz w:val="32"/>
          <w:szCs w:val="32"/>
          <w:highlight w:val="none"/>
          <w:lang w:eastAsia="zh-CN"/>
        </w:rPr>
        <w:t>给予5万元的博士后应用研究项目资助</w:t>
      </w:r>
      <w:r>
        <w:rPr>
          <w:rFonts w:ascii="仿宋_GB2312" w:cs="仿宋_GB2312" w:hAnsi="仿宋_GB2312" w:hint="eastAsia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ascii="仿宋_GB2312" w:cs="仿宋_GB2312" w:eastAsia="仿宋_GB2312" w:hAnsi="仿宋_GB2312" w:hint="default"/>
          <w:color w:val="000000"/>
          <w:sz w:val="32"/>
          <w:szCs w:val="32"/>
          <w:highlight w:val="none"/>
          <w:lang w:eastAsia="zh-CN"/>
        </w:rPr>
        <w:t>单位推荐</w:t>
      </w:r>
      <w:r>
        <w:rPr>
          <w:rFonts w:ascii="仿宋_GB2312" w:cs="仿宋_GB2312" w:hAnsi="仿宋_GB2312" w:hint="eastAsia"/>
          <w:color w:val="000000"/>
          <w:sz w:val="32"/>
          <w:szCs w:val="32"/>
          <w:highlight w:val="none"/>
          <w:lang w:val="en-US" w:eastAsia="zh-CN"/>
        </w:rPr>
        <w:t>申报</w:t>
      </w:r>
      <w:r>
        <w:rPr>
          <w:rFonts w:ascii="仿宋_GB2312" w:cs="仿宋_GB2312" w:eastAsia="仿宋_GB2312" w:hAnsi="仿宋_GB2312" w:hint="default"/>
          <w:color w:val="000000"/>
          <w:sz w:val="32"/>
          <w:szCs w:val="32"/>
          <w:highlight w:val="none"/>
          <w:lang w:eastAsia="zh-CN"/>
        </w:rPr>
        <w:t>博士后应用研究项目资助名额，根据单位</w:t>
      </w:r>
      <w:r>
        <w:rPr>
          <w:rFonts w:ascii="仿宋_GB2312" w:cs="仿宋_GB2312" w:hAnsi="仿宋_GB2312" w:hint="eastAsia"/>
          <w:color w:val="000000"/>
          <w:sz w:val="32"/>
          <w:szCs w:val="32"/>
          <w:highlight w:val="none"/>
          <w:lang w:val="en-US" w:eastAsia="zh-CN"/>
        </w:rPr>
        <w:t>同期</w:t>
      </w:r>
      <w:r>
        <w:rPr>
          <w:rFonts w:ascii="仿宋_GB2312" w:cs="仿宋_GB2312" w:eastAsia="仿宋_GB2312" w:hAnsi="仿宋_GB2312" w:hint="default"/>
          <w:color w:val="000000"/>
          <w:sz w:val="32"/>
          <w:szCs w:val="32"/>
          <w:highlight w:val="none"/>
          <w:lang w:eastAsia="zh-CN"/>
        </w:rPr>
        <w:t>进站（基地）博士后数量、博士后工作实际情况等综合确定</w:t>
      </w:r>
      <w:r>
        <w:rPr>
          <w:rFonts w:ascii="仿宋_GB2312" w:cs="仿宋_GB2312" w:hAnsi="仿宋_GB2312" w:hint="eastAsia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ascii="仿宋_GB2312" w:cs="仿宋_GB2312" w:hAnsi="仿宋_GB2312" w:hint="eastAsia"/>
          <w:color w:val="000000"/>
          <w:sz w:val="32"/>
          <w:szCs w:val="32"/>
          <w:highlight w:val="none"/>
          <w:lang w:val="en-US" w:eastAsia="zh-CN"/>
        </w:rPr>
        <w:t>申报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val="en-US" w:eastAsia="zh-CN"/>
        </w:rPr>
        <w:t>材料</w:t>
      </w:r>
      <w:r>
        <w:rPr>
          <w:rFonts w:ascii="仿宋_GB2312" w:cs="仿宋_GB2312" w:hAnsi="仿宋_GB2312" w:hint="eastAsia"/>
          <w:color w:val="000000"/>
          <w:sz w:val="32"/>
          <w:szCs w:val="32"/>
          <w:highlight w:val="none"/>
          <w:lang w:val="en-US" w:eastAsia="zh-CN"/>
        </w:rPr>
        <w:t>包括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val="en-US" w:eastAsia="zh-CN"/>
        </w:rPr>
        <w:t>：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bidi w:val="false"/>
        <w:snapToGrid/>
        <w:spacing w:lineRule="exact" w:line="560"/>
        <w:ind w:firstLine="640" w:firstLineChars="200"/>
        <w:textAlignment w:val="auto"/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val="en-US" w:eastAsia="zh-CN"/>
        </w:rPr>
      </w:pPr>
      <w:r>
        <w:rPr>
          <w:rFonts w:ascii="仿宋_GB2312" w:cs="仿宋_GB2312" w:hAnsi="仿宋_GB2312" w:hint="eastAsia"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ascii="仿宋_GB2312" w:cs="仿宋_GB2312" w:eastAsia="仿宋_GB2312" w:hAnsi="仿宋_GB2312" w:hint="default"/>
          <w:color w:val="000000"/>
          <w:sz w:val="32"/>
          <w:szCs w:val="32"/>
          <w:highlight w:val="none"/>
          <w:lang w:eastAsia="zh-CN"/>
        </w:rPr>
        <w:t>博士后进站介绍信或进站备案证明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val="en-US" w:eastAsia="zh-CN"/>
        </w:rPr>
        <w:t>；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bidi w:val="false"/>
        <w:snapToGrid/>
        <w:spacing w:lineRule="exact" w:line="560"/>
        <w:ind w:firstLine="640" w:firstLineChars="200"/>
        <w:textAlignment w:val="auto"/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val="en-US" w:eastAsia="zh-CN"/>
        </w:rPr>
      </w:pPr>
      <w:r>
        <w:rPr>
          <w:rFonts w:ascii="仿宋_GB2312" w:cs="仿宋_GB2312" w:hAnsi="仿宋_GB2312" w:hint="eastAsia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val="en-US" w:eastAsia="zh-CN"/>
        </w:rPr>
        <w:t>开题报告。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bidi w:val="false"/>
        <w:snapToGrid/>
        <w:spacing w:lineRule="exact" w:line="560"/>
        <w:ind w:firstLine="640" w:firstLineChars="200"/>
        <w:textAlignment w:val="auto"/>
        <w:rPr>
          <w:rFonts w:ascii="黑体" w:cs="仿宋_GB2312" w:eastAsia="黑体" w:hAnsi="仿宋_GB2312" w:hint="eastAsia"/>
          <w:color w:val="000000"/>
          <w:sz w:val="32"/>
          <w:szCs w:val="32"/>
          <w:highlight w:val="none"/>
          <w:lang w:eastAsia="zh-CN"/>
        </w:rPr>
      </w:pPr>
      <w:r>
        <w:rPr>
          <w:rFonts w:ascii="黑体" w:cs="仿宋_GB2312" w:eastAsia="黑体" w:hAnsi="仿宋_GB2312" w:hint="eastAsia"/>
          <w:color w:val="000000"/>
          <w:sz w:val="32"/>
          <w:szCs w:val="32"/>
          <w:highlight w:val="none"/>
          <w:lang w:eastAsia="zh-CN"/>
        </w:rPr>
        <w:t>三</w:t>
      </w:r>
      <w:r>
        <w:rPr>
          <w:rFonts w:ascii="黑体" w:cs="仿宋_GB2312" w:eastAsia="黑体" w:hAnsi="仿宋_GB2312" w:hint="eastAsia"/>
          <w:color w:val="000000"/>
          <w:sz w:val="32"/>
          <w:szCs w:val="32"/>
          <w:highlight w:val="none"/>
        </w:rPr>
        <w:t>、</w:t>
      </w:r>
      <w:r>
        <w:rPr>
          <w:rFonts w:ascii="黑体" w:cs="仿宋_GB2312" w:eastAsia="黑体" w:hAnsi="仿宋_GB2312" w:hint="eastAsia"/>
          <w:color w:val="000000"/>
          <w:sz w:val="32"/>
          <w:szCs w:val="32"/>
          <w:highlight w:val="none"/>
          <w:lang w:eastAsia="zh-CN"/>
        </w:rPr>
        <w:t>申报时间和方式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bidi w:val="false"/>
        <w:snapToGrid/>
        <w:spacing w:lineRule="exact" w:line="560"/>
        <w:ind w:firstLine="640" w:firstLineChars="200"/>
        <w:textAlignment w:val="auto"/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default"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ascii="仿宋_GB2312" w:cs="仿宋_GB2312" w:eastAsia="仿宋_GB2312" w:hAnsi="仿宋_GB2312" w:hint="default"/>
          <w:color w:val="000000"/>
          <w:sz w:val="32"/>
          <w:szCs w:val="32"/>
          <w:highlight w:val="none"/>
          <w:lang w:eastAsia="zh-CN"/>
        </w:rPr>
        <w:t>申报时间</w:t>
      </w:r>
      <w:r>
        <w:rPr>
          <w:rFonts w:ascii="仿宋_GB2312" w:cs="仿宋_GB2312" w:hAnsi="仿宋_GB2312" w:hint="eastAsia"/>
          <w:color w:val="000000"/>
          <w:sz w:val="32"/>
          <w:szCs w:val="32"/>
          <w:highlight w:val="none"/>
          <w:lang w:eastAsia="zh-CN"/>
        </w:rPr>
        <w:t>：</w:t>
      </w:r>
      <w:r>
        <w:rPr>
          <w:rFonts w:ascii="仿宋_GB2312" w:cs="仿宋_GB2312" w:eastAsia="仿宋_GB2312" w:hAnsi="仿宋_GB2312" w:hint="default"/>
          <w:color w:val="000000"/>
          <w:sz w:val="32"/>
          <w:szCs w:val="32"/>
          <w:highlight w:val="none"/>
          <w:lang w:val="en-US" w:eastAsia="zh-CN"/>
        </w:rPr>
        <w:t>2021年</w:t>
      </w:r>
      <w:r>
        <w:rPr>
          <w:rFonts w:ascii="仿宋_GB2312" w:cs="仿宋_GB2312" w:hAnsi="仿宋_GB2312" w:hint="eastAsia"/>
          <w:color w:val="000000"/>
          <w:sz w:val="32"/>
          <w:szCs w:val="32"/>
          <w:highlight w:val="none"/>
          <w:lang w:val="en-US" w:eastAsia="zh-CN"/>
        </w:rPr>
        <w:t>12</w:t>
      </w:r>
      <w:r>
        <w:rPr>
          <w:rFonts w:ascii="仿宋_GB2312" w:cs="仿宋_GB2312" w:eastAsia="仿宋_GB2312" w:hAnsi="仿宋_GB2312" w:hint="default"/>
          <w:color w:val="000000"/>
          <w:sz w:val="32"/>
          <w:szCs w:val="32"/>
          <w:highlight w:val="none"/>
          <w:lang w:val="en-US" w:eastAsia="zh-CN"/>
        </w:rPr>
        <w:t>月</w:t>
      </w:r>
      <w:r>
        <w:rPr>
          <w:rFonts w:ascii="仿宋_GB2312" w:cs="仿宋_GB2312" w:hAnsi="仿宋_GB2312" w:hint="eastAsia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ascii="仿宋_GB2312" w:cs="仿宋_GB2312" w:eastAsia="仿宋_GB2312" w:hAnsi="仿宋_GB2312" w:hint="default"/>
          <w:color w:val="000000"/>
          <w:sz w:val="32"/>
          <w:szCs w:val="32"/>
          <w:highlight w:val="none"/>
          <w:lang w:val="en-US" w:eastAsia="zh-CN"/>
        </w:rPr>
        <w:t>日</w:t>
      </w:r>
      <w:r>
        <w:rPr>
          <w:rFonts w:ascii="仿宋_GB2312" w:cs="仿宋_GB2312" w:hAnsi="仿宋_GB2312" w:hint="eastAsia"/>
          <w:color w:val="000000"/>
          <w:sz w:val="32"/>
          <w:szCs w:val="32"/>
          <w:highlight w:val="none"/>
          <w:lang w:val="en-US" w:eastAsia="zh-CN"/>
        </w:rPr>
        <w:t>至</w:t>
      </w:r>
      <w:r>
        <w:rPr>
          <w:rFonts w:ascii="仿宋_GB2312" w:cs="仿宋_GB2312" w:eastAsia="仿宋_GB2312" w:hAnsi="仿宋_GB2312" w:hint="default"/>
          <w:color w:val="000000"/>
          <w:sz w:val="32"/>
          <w:szCs w:val="32"/>
          <w:highlight w:val="none"/>
          <w:lang w:val="en-US" w:eastAsia="zh-CN"/>
        </w:rPr>
        <w:t>31日</w:t>
      </w:r>
      <w:r>
        <w:rPr>
          <w:rFonts w:ascii="仿宋_GB2312" w:cs="仿宋_GB2312" w:eastAsia="仿宋_GB2312" w:hAnsi="仿宋_GB2312" w:hint="eastAsia"/>
          <w:color w:val="000000"/>
          <w:sz w:val="32"/>
          <w:szCs w:val="32"/>
          <w:highlight w:val="none"/>
          <w:lang w:val="en-US" w:eastAsia="zh-CN"/>
        </w:rPr>
        <w:t>；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bidi w:val="false"/>
        <w:snapToGrid/>
        <w:spacing w:lineRule="exact" w:line="560"/>
        <w:ind w:firstLine="640" w:firstLineChars="200"/>
        <w:textAlignment w:val="auto"/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val="en-US" w:eastAsia="zh-CN"/>
        </w:rPr>
      </w:pPr>
      <w:r>
        <w:rPr>
          <w:rFonts w:ascii="仿宋_GB2312" w:cs="仿宋_GB2312" w:hAnsi="仿宋_GB2312" w:hint="eastAsia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ascii="仿宋_GB2312" w:cs="仿宋_GB2312" w:eastAsia="仿宋_GB2312" w:hAnsi="仿宋_GB2312" w:hint="default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val="en-US" w:eastAsia="zh-CN"/>
        </w:rPr>
        <w:t>申报网址：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val="en-US" w:eastAsia="zh-CN"/>
        </w:rPr>
        <w:fldChar w:fldCharType="begin"/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val="en-US" w:eastAsia="zh-CN"/>
        </w:rPr>
        <w:instrText xml:space="preserve"> HYPERLINK "http://rc.qingdao.gov.cn（青岛人才网）；" </w:instrTex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val="en-US" w:eastAsia="zh-CN"/>
        </w:rPr>
        <w:t>http://rc.qingdao.gov.cn（青岛人才网）；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bidi w:val="false"/>
        <w:snapToGrid/>
        <w:spacing w:lineRule="exact" w:line="560"/>
        <w:ind w:firstLine="640" w:firstLineChars="200"/>
        <w:textAlignment w:val="auto"/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val="en-US" w:eastAsia="zh-CN"/>
        </w:rPr>
      </w:pPr>
      <w:r>
        <w:rPr>
          <w:rFonts w:ascii="仿宋_GB2312" w:cs="仿宋_GB2312" w:hAnsi="仿宋_GB2312" w:hint="eastAsia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仿宋_GB2312" w:cs="仿宋_GB2312" w:eastAsia="仿宋_GB2312" w:hAnsi="仿宋_GB2312" w:hint="default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val="en-US" w:eastAsia="zh-CN"/>
        </w:rPr>
        <w:t>各有关单位统一组织博士后网上申报并负责初审，青岛市人力资源和社会保障局负责终审（详见附件）</w:t>
      </w:r>
      <w:r>
        <w:rPr>
          <w:rFonts w:ascii="仿宋_GB2312" w:cs="仿宋_GB2312" w:hAnsi="仿宋_GB2312" w:hint="eastAsia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bidi w:val="false"/>
        <w:snapToGrid/>
        <w:spacing w:lineRule="exact" w:line="560"/>
        <w:ind w:firstLine="640" w:firstLineChars="200"/>
        <w:textAlignment w:val="auto"/>
        <w:rPr>
          <w:rFonts w:ascii="黑体" w:cs="仿宋_GB2312" w:eastAsia="黑体" w:hAnsi="仿宋_GB2312" w:hint="eastAsia"/>
          <w:color w:val="auto"/>
          <w:sz w:val="32"/>
          <w:szCs w:val="32"/>
          <w:highlight w:val="none"/>
        </w:rPr>
      </w:pPr>
      <w:r>
        <w:rPr>
          <w:rFonts w:ascii="黑体" w:cs="仿宋_GB2312" w:eastAsia="黑体" w:hAnsi="仿宋_GB2312" w:hint="eastAsia"/>
          <w:color w:val="auto"/>
          <w:sz w:val="32"/>
          <w:szCs w:val="32"/>
          <w:highlight w:val="none"/>
          <w:lang w:eastAsia="zh-CN"/>
        </w:rPr>
        <w:t>四</w:t>
      </w:r>
      <w:r>
        <w:rPr>
          <w:rFonts w:ascii="黑体" w:cs="仿宋_GB2312" w:eastAsia="黑体" w:hAnsi="仿宋_GB2312" w:hint="eastAsia"/>
          <w:color w:val="auto"/>
          <w:sz w:val="32"/>
          <w:szCs w:val="32"/>
          <w:highlight w:val="none"/>
        </w:rPr>
        <w:t>、有关</w:t>
      </w:r>
      <w:r>
        <w:rPr>
          <w:rFonts w:ascii="黑体" w:cs="仿宋_GB2312" w:eastAsia="黑体" w:hAnsi="仿宋_GB2312" w:hint="eastAsia"/>
          <w:color w:val="auto"/>
          <w:sz w:val="32"/>
          <w:szCs w:val="32"/>
          <w:highlight w:val="none"/>
          <w:lang w:eastAsia="zh-CN"/>
        </w:rPr>
        <w:t>说明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bidi w:val="false"/>
        <w:snapToGrid/>
        <w:spacing w:lineRule="exact" w:line="560"/>
        <w:ind w:firstLine="640" w:firstLineChars="200"/>
        <w:textAlignment w:val="auto"/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eastAsia="zh-CN"/>
        </w:rPr>
        <w:t>博士后科研流动站和博士后科研工作站联合培养的博士后，由博士后科研工作站组织申报；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bidi w:val="false"/>
        <w:snapToGrid/>
        <w:spacing w:lineRule="exact" w:line="560"/>
        <w:ind w:firstLine="640" w:firstLineChars="200"/>
        <w:textAlignment w:val="auto"/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eastAsia="zh-CN"/>
        </w:rPr>
        <w:t>博士后科研流动站和省博士后创新实践基地联合培养的博士后，由省博士后创新实践基地组织申报；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bidi w:val="false"/>
        <w:snapToGrid/>
        <w:spacing w:lineRule="exact" w:line="560"/>
        <w:ind w:firstLine="640" w:firstLineChars="200"/>
        <w:textAlignment w:val="auto"/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val="en-US" w:eastAsia="zh-CN"/>
        </w:rPr>
        <w:t>出站博士后所在工作单位应先注册后再申报；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bidi w:val="false"/>
        <w:snapToGrid/>
        <w:spacing w:lineRule="exact" w:line="560"/>
        <w:ind w:firstLine="640" w:firstLineChars="200"/>
        <w:textAlignment w:val="auto"/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eastAsia="zh-CN"/>
        </w:rPr>
        <w:t>银行账户必须是中国农业银行或交通银行，其他银行的不予拨付；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bidi w:val="false"/>
        <w:snapToGrid/>
        <w:spacing w:lineRule="exact" w:line="560"/>
        <w:ind w:firstLine="640" w:firstLineChars="200"/>
        <w:textAlignment w:val="auto"/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eastAsia="zh-CN"/>
        </w:rPr>
      </w:pP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val="en-US" w:eastAsia="zh-CN"/>
        </w:rPr>
        <w:t>3.博士后资助申报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eastAsia="zh-CN"/>
        </w:rPr>
        <w:t>业务咨询电话</w:t>
      </w:r>
      <w:r>
        <w:rPr>
          <w:rFonts w:ascii="仿宋_GB2312" w:cs="仿宋_GB2312" w:eastAsia="仿宋_GB2312" w:hAnsi="仿宋_GB2312" w:hint="default"/>
          <w:color w:val="auto"/>
          <w:sz w:val="32"/>
          <w:szCs w:val="32"/>
          <w:highlight w:val="none"/>
          <w:lang w:val="en-US" w:eastAsia="zh-CN"/>
        </w:rPr>
        <w:t>85912793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val="en-US" w:eastAsia="zh-CN"/>
        </w:rPr>
        <w:t>，技术支持电话</w:t>
      </w:r>
      <w:r>
        <w:rPr>
          <w:rFonts w:ascii="仿宋_GB2312" w:cs="仿宋_GB2312" w:eastAsia="仿宋_GB2312" w:hAnsi="仿宋_GB2312" w:hint="default"/>
          <w:color w:val="auto"/>
          <w:sz w:val="32"/>
          <w:szCs w:val="32"/>
          <w:highlight w:val="none"/>
          <w:lang w:val="en-US" w:eastAsia="zh-CN"/>
        </w:rPr>
        <w:t>88915202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val="en-US" w:eastAsia="zh-CN"/>
        </w:rPr>
        <w:t>（青岛人才网）。</w:t>
      </w:r>
    </w:p>
    <w:p>
      <w:pPr>
        <w:pStyle w:val="style0"/>
        <w:keepNext w:val="false"/>
        <w:keepLines w:val="false"/>
        <w:pageBreakBefore w:val="false"/>
        <w:widowControl/>
        <w:kinsoku/>
        <w:overflowPunct/>
        <w:topLinePunct w:val="false"/>
        <w:bidi w:val="false"/>
        <w:snapToGrid/>
        <w:spacing w:lineRule="exact" w:line="560"/>
        <w:textAlignment w:val="auto"/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</w:rPr>
      </w:pP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bidi w:val="false"/>
        <w:snapToGrid/>
        <w:spacing w:lineRule="exact" w:line="560"/>
        <w:ind w:firstLine="640" w:firstLineChars="200"/>
        <w:textAlignment w:val="auto"/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val="en-US"/>
        </w:rPr>
      </w:pP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</w:rPr>
        <w:t>附件：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val="en-US"/>
        </w:rPr>
        <w:t>青岛</w:t>
      </w:r>
      <w:r>
        <w:rPr>
          <w:rFonts w:ascii="仿宋_GB2312" w:cs="仿宋_GB2312" w:hAnsi="仿宋_GB2312" w:hint="eastAsia"/>
          <w:color w:val="auto"/>
          <w:sz w:val="32"/>
          <w:szCs w:val="32"/>
          <w:highlight w:val="none"/>
          <w:lang w:val="en-US" w:eastAsia="zh-CN"/>
        </w:rPr>
        <w:t>市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val="en-US"/>
        </w:rPr>
        <w:t>博士后资助</w:t>
      </w:r>
      <w:r>
        <w:rPr>
          <w:rFonts w:ascii="仿宋_GB2312" w:cs="仿宋_GB2312" w:hAnsi="仿宋_GB2312" w:hint="eastAsia"/>
          <w:color w:val="auto"/>
          <w:sz w:val="32"/>
          <w:szCs w:val="32"/>
          <w:highlight w:val="none"/>
          <w:lang w:val="en-US" w:eastAsia="zh-CN"/>
        </w:rPr>
        <w:t>系统</w:t>
      </w:r>
      <w:bookmarkStart w:id="0" w:name="_GoBack"/>
      <w:bookmarkEnd w:id="0"/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val="en-US"/>
        </w:rPr>
        <w:t>用户手册</w:t>
      </w: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bidi w:val="false"/>
        <w:snapToGrid/>
        <w:spacing w:lineRule="exact" w:line="560"/>
        <w:textAlignment w:val="auto"/>
        <w:rPr>
          <w:rFonts w:ascii="仿宋_GB2312" w:eastAsia="仿宋_GB2312" w:hAnsi="宋体" w:hint="eastAsia"/>
          <w:bCs/>
          <w:color w:val="auto"/>
          <w:spacing w:val="-20"/>
          <w:kern w:val="0"/>
          <w:sz w:val="32"/>
          <w:szCs w:val="32"/>
          <w:highlight w:val="none"/>
        </w:rPr>
      </w:pPr>
    </w:p>
    <w:p>
      <w:pPr>
        <w:pStyle w:val="style0"/>
        <w:keepNext w:val="false"/>
        <w:keepLines w:val="false"/>
        <w:pageBreakBefore w:val="false"/>
        <w:kinsoku/>
        <w:overflowPunct/>
        <w:topLinePunct w:val="false"/>
        <w:autoSpaceDE w:val="false"/>
        <w:autoSpaceDN w:val="false"/>
        <w:bidi w:val="false"/>
        <w:adjustRightInd w:val="false"/>
        <w:snapToGrid/>
        <w:spacing w:lineRule="exact" w:line="560"/>
        <w:jc w:val="left"/>
        <w:textAlignment w:val="auto"/>
        <w:rPr>
          <w:rFonts w:ascii="仿宋_GB2312" w:eastAsia="仿宋_GB2312" w:hAnsi="宋体" w:hint="eastAsia"/>
          <w:bCs/>
          <w:color w:val="auto"/>
          <w:spacing w:val="-20"/>
          <w:kern w:val="0"/>
          <w:sz w:val="32"/>
          <w:szCs w:val="32"/>
          <w:highlight w:val="none"/>
        </w:rPr>
      </w:pPr>
    </w:p>
    <w:p>
      <w:pPr>
        <w:pStyle w:val="style0"/>
        <w:keepNext w:val="false"/>
        <w:keepLines w:val="false"/>
        <w:pageBreakBefore w:val="false"/>
        <w:kinsoku/>
        <w:wordWrap w:val="false"/>
        <w:overflowPunct/>
        <w:topLinePunct w:val="false"/>
        <w:autoSpaceDE w:val="false"/>
        <w:autoSpaceDN w:val="false"/>
        <w:bidi w:val="false"/>
        <w:adjustRightInd w:val="false"/>
        <w:snapToGrid/>
        <w:spacing w:lineRule="exact" w:line="560"/>
        <w:jc w:val="right"/>
        <w:textAlignment w:val="auto"/>
        <w:rPr>
          <w:rFonts w:ascii="仿宋_GB2312" w:eastAsia="仿宋_GB2312" w:hint="default"/>
          <w:color w:val="auto"/>
          <w:sz w:val="32"/>
          <w:szCs w:val="32"/>
          <w:highlight w:val="none"/>
          <w:lang w:val="en-US" w:eastAsia="zh-CN"/>
        </w:rPr>
      </w:pPr>
      <w:r>
        <w:rPr>
          <w:rFonts w:ascii="仿宋_GB2312" w:eastAsia="仿宋_GB2312" w:hint="eastAsia"/>
          <w:color w:val="auto"/>
          <w:sz w:val="32"/>
          <w:szCs w:val="32"/>
          <w:highlight w:val="none"/>
        </w:rPr>
        <w:t>青岛市人力资源和社会保障局</w:t>
      </w:r>
      <w:r>
        <w:rPr>
          <w:rFonts w:ascii="仿宋_GB2312" w:hint="eastAsia"/>
          <w:color w:val="auto"/>
          <w:sz w:val="32"/>
          <w:szCs w:val="32"/>
          <w:highlight w:val="none"/>
          <w:lang w:val="en-US" w:eastAsia="zh-CN"/>
        </w:rPr>
        <w:t xml:space="preserve">        </w:t>
      </w:r>
    </w:p>
    <w:p>
      <w:pPr>
        <w:pStyle w:val="style0"/>
        <w:keepNext w:val="false"/>
        <w:keepLines w:val="false"/>
        <w:pageBreakBefore w:val="false"/>
        <w:kinsoku/>
        <w:wordWrap w:val="false"/>
        <w:overflowPunct/>
        <w:topLinePunct w:val="false"/>
        <w:autoSpaceDE w:val="false"/>
        <w:autoSpaceDN w:val="false"/>
        <w:bidi w:val="false"/>
        <w:adjustRightInd w:val="false"/>
        <w:snapToGrid/>
        <w:spacing w:lineRule="exact" w:line="560"/>
        <w:jc w:val="right"/>
        <w:textAlignment w:val="auto"/>
        <w:rPr>
          <w:rFonts w:ascii="仿宋_GB2312" w:cs="仿宋_GB2312" w:hAnsi="仿宋_GB2312"/>
          <w:color w:val="auto"/>
          <w:sz w:val="28"/>
          <w:szCs w:val="28"/>
        </w:rPr>
      </w:pPr>
      <w:r>
        <w:rPr>
          <w:rFonts w:ascii="仿宋_GB2312" w:eastAsia="仿宋_GB2312" w:hint="eastAsia"/>
          <w:color w:val="auto"/>
          <w:sz w:val="32"/>
          <w:szCs w:val="32"/>
          <w:highlight w:val="none"/>
        </w:rPr>
        <w:t>202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ascii="仿宋_GB2312" w:eastAsia="仿宋_GB2312" w:hint="eastAsia"/>
          <w:color w:val="auto"/>
          <w:sz w:val="32"/>
          <w:szCs w:val="32"/>
          <w:highlight w:val="none"/>
        </w:rPr>
        <w:t>年</w:t>
      </w:r>
      <w:r>
        <w:rPr>
          <w:rFonts w:ascii="仿宋_GB2312" w:hint="eastAsia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ascii="仿宋_GB2312" w:eastAsia="仿宋_GB2312" w:hint="eastAsia"/>
          <w:color w:val="auto"/>
          <w:sz w:val="32"/>
          <w:szCs w:val="32"/>
          <w:highlight w:val="none"/>
        </w:rPr>
        <w:t>月</w:t>
      </w:r>
      <w:r>
        <w:rPr>
          <w:rFonts w:ascii="仿宋_GB2312" w:hint="eastAsia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仿宋_GB2312" w:eastAsia="仿宋_GB2312" w:hint="eastAsia"/>
          <w:color w:val="auto"/>
          <w:sz w:val="32"/>
          <w:szCs w:val="32"/>
          <w:highlight w:val="none"/>
        </w:rPr>
        <w:t>日</w:t>
      </w:r>
      <w:r>
        <w:rPr>
          <w:rFonts w:ascii="仿宋_GB2312" w:hint="eastAsia"/>
          <w:color w:val="auto"/>
          <w:sz w:val="32"/>
          <w:szCs w:val="32"/>
          <w:highlight w:val="none"/>
          <w:lang w:val="en-US" w:eastAsia="zh-CN"/>
        </w:rPr>
        <w:t xml:space="preserve">             </w:t>
      </w:r>
    </w:p>
    <w:sectPr>
      <w:footerReference w:type="default" r:id="rId2"/>
      <w:headerReference w:type="first" r:id="rId3"/>
      <w:footerReference w:type="first" r:id="rId4"/>
      <w:pgSz w:w="11906" w:h="16838" w:orient="portrait"/>
      <w:pgMar w:top="2098" w:right="1474" w:bottom="1985" w:left="1588" w:header="851" w:footer="964" w:gutter="0"/>
      <w:pgNumType w:fmt="numberInDash"/>
      <w:cols w:space="720" w:num="1"/>
      <w:titlePg/>
      <w:docGrid w:type="linesAndChar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0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_GB2312"/>
    <w:panose1 w:val="02010609030000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Verdana"/>
    <w:panose1 w:val="020b0604030000040204"/>
    <w:charset w:val="00"/>
    <w:family w:val="swiss"/>
    <w:pitch w:val="default"/>
    <w:sig w:usb0="A00006FF" w:usb1="4000205B" w:usb2="00000010" w:usb3="00000000" w:csb0="2000019F" w:csb1="00000000"/>
  </w:font>
  <w:font w:name="仿宋">
    <w:altName w:val="仿宋"/>
    <w:panose1 w:val="02010609060000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方正小标宋_GBK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altName w:val="楷体"/>
    <w:panose1 w:val="02010609060000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文星标宋"/>
    <w:panose1 w:val="02010604000000010101"/>
    <w:charset w:val="86"/>
    <w:family w:val="modern"/>
    <w:pitch w:val="default"/>
    <w:sig w:usb0="00000001" w:usb1="080E0000" w:usb2="00000000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>
        <w:rFonts w:ascii="仿宋_GB2312" w:hint="eastAsia"/>
        <w:sz w:val="28"/>
      </w:rPr>
    </w:pPr>
    <w:r>
      <w:rPr>
        <w:sz w:val="2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outside</wp:align>
              </wp:positionH>
              <wp:positionV relativeFrom="paragraph">
                <wp:posOffset>-152400</wp:posOffset>
              </wp:positionV>
              <wp:extent cx="1828800" cy="1828800"/>
              <wp:effectExtent l="0" t="0" r="0" b="0"/>
              <wp:wrapNone/>
              <wp:docPr id="4097" name="文本框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jc w:val="center"/>
                            <w:rPr/>
                          </w:pP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- 4 -</w:t>
                          </w:r>
                          <w:r>
                            <w:rPr>
                              <w:rFonts w:ascii="宋体" w:cs="宋体" w:eastAsia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-12.0pt;width:144.0pt;height:144.0pt;z-index:2;mso-position-horizontal:outside;mso-position-horizontal-relative:margin;mso-position-vertical-relative:text;mso-width-relative:page;mso-height-relative:page;mso-wrap-distance-left:0.0pt;mso-wrap-distance-right:0.0pt;visibility:visible;mso-wrap-style:none;">
              <v:stroke on="f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jc w:val="center"/>
                      <w:rPr/>
                    </w:pP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- 4 -</w:t>
                    </w:r>
                    <w:r>
                      <w:rPr>
                        <w:rFonts w:ascii="宋体" w:cs="宋体" w:eastAsia="宋体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style32"/>
      <w:rPr/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tbl>
    <w:tblPr>
      <w:tblStyle w:val="style105"/>
      <w:tblW w:w="9639" w:type="dxa"/>
      <w:jc w:val="center"/>
      <w:tblBorders>
        <w:top w:val="thickThinMediumGap" w:sz="24" w:space="0" w:color="ff0000"/>
        <w:left w:val="none" w:sz="0" w:space="0" w:color="auto"/>
        <w:bottom w:val="none" w:sz="0" w:space="0" w:color="auto"/>
        <w:right w:val="none" w:sz="0" w:space="0" w:color="auto"/>
        <w:insideH w:val="thickThinMediumGap" w:sz="24" w:space="0" w:color="ff0000"/>
        <w:insideV w:val="thickThinMediumGap" w:sz="24" w:space="0" w:color="ff000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639"/>
    </w:tblGrid>
    <w:tr>
      <w:trPr>
        <w:trHeight w:val="113" w:hRule="exact"/>
        <w:jc w:val="center"/>
      </w:trPr>
      <w:tc>
        <w:tcPr>
          <w:tcW w:w="9639" w:type="dxa"/>
          <w:tcBorders/>
        </w:tcPr>
        <w:p>
          <w:pPr>
            <w:pStyle w:val="style32"/>
            <w:rPr/>
          </w:pPr>
          <w:r>
            <w:rPr/>
            <mc:AlternateContent>
              <mc:Choice Requires="wps">
                <w:drawing>
                  <wp:anchor distT="0" distB="0" distL="0" distR="0" simplePos="false" relativeHeight="3" behindDoc="false" locked="false" layoutInCell="true" allowOverlap="true">
                    <wp:simplePos x="0" y="0"/>
                    <wp:positionH relativeFrom="margin">
                      <wp:align>outside</wp:align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None/>
                    <wp:docPr id="4098" name="文本框 3"/>
                    <wp:cNvGraphicFramePr>
                      <a:graphicFrameLocks xmlns:a="http://schemas.openxmlformats.org/drawingml/2006/main" noChangeAspect="false" noSelect="false" noResize="false" noGrp="false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0">
                              <a:off x="0" y="0"/>
                              <a:ext cx="1828800" cy="1828800"/>
                            </a:xfrm>
                            <a:prstGeom prst="rect"/>
                            <a:ln>
                              <a:noFill/>
                            </a:ln>
                          </wps:spPr>
                          <wps:txbx id="4098">
                            <w:txbxContent>
                              <w:p>
                                <w:pPr>
                                  <w:pStyle w:val="style0"/>
                                  <w:snapToGrid w:val="false"/>
                                  <w:rPr>
                                    <w:rFonts w:hint="eastAsia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lIns="0" rIns="0" tIns="0" bIns="0" wrap="none" upright="false">
                            <a:prstTxWarp prst="textNoShape"/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4098" filled="f" stroked="f" style="position:absolute;margin-left:0.0pt;margin-top:0.0pt;width:144.0pt;height:144.0pt;z-index:3;mso-position-horizontal:outside;mso-position-horizontal-relative:margin;mso-position-vertical-relative:text;mso-width-relative:page;mso-height-relative:page;mso-wrap-distance-left:0.0pt;mso-wrap-distance-right:0.0pt;visibility:visible;mso-wrap-style:none;">
                    <v:stroke on="f"/>
                    <v:fill/>
                    <v:textbox inset="0.0pt,0.0pt,0.0pt,0.0pt" style="mso-fit-shape-to-text:true;">
                      <w:txbxContent>
                        <w:p>
                          <w:pPr>
                            <w:pStyle w:val="style0"/>
                            <w:snapToGrid w:val="false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</w:tbl>
</w:ft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lineRule="exact" w:line="600"/>
      <w:rPr>
        <w:rFonts w:hint="eastAsia"/>
      </w:rPr>
    </w:pPr>
  </w:p>
  <w:tbl>
    <w:tblPr>
      <w:tblStyle w:val="style105"/>
      <w:tblW w:w="9639" w:type="dxa"/>
      <w:jc w:val="center"/>
      <w:tblBorders>
        <w:top w:val="none" w:sz="0" w:space="0" w:color="auto"/>
        <w:left w:val="none" w:sz="0" w:space="0" w:color="auto"/>
        <w:bottom w:val="thinThickMediumGap" w:sz="24" w:space="0" w:color="ff0000"/>
        <w:right w:val="none" w:sz="0" w:space="0" w:color="auto"/>
        <w:insideH w:val="thinThickMediumGap" w:sz="24" w:space="0" w:color="ff0000"/>
        <w:insideV w:val="thinThickMediumGap" w:sz="24" w:space="0" w:color="ff000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639"/>
    </w:tblGrid>
    <w:tr>
      <w:trPr>
        <w:trHeight w:val="558" w:hRule="atLeast"/>
        <w:jc w:val="center"/>
      </w:trPr>
      <w:tc>
        <w:tcPr>
          <w:tcW w:w="9639" w:type="dxa"/>
          <w:tcBorders/>
          <w:tcMar>
            <w:left w:w="0" w:type="dxa"/>
            <w:right w:w="0" w:type="dxa"/>
          </w:tcMar>
        </w:tcPr>
        <w:p>
          <w:pPr>
            <w:pStyle w:val="style31"/>
            <w:rPr>
              <w:rFonts w:ascii="方正小标宋_GBK" w:eastAsia="方正小标宋_GBK" w:hint="eastAsia"/>
              <w:color w:val="ff0000"/>
              <w:sz w:val="66"/>
              <w:szCs w:val="66"/>
            </w:rPr>
          </w:pPr>
          <w:r>
            <w:rPr>
              <w:rFonts w:ascii="方正小标宋_GBK" w:eastAsia="方正小标宋_GBK" w:hAnsi="文星标宋" w:hint="eastAsia"/>
              <w:color w:val="ff0000"/>
              <w:w w:val="88"/>
              <w:position w:val="6"/>
              <w:sz w:val="80"/>
              <w:szCs w:val="80"/>
            </w:rPr>
            <w:t>青岛市人力资源和社会保障局</w:t>
          </w:r>
        </w:p>
      </w:tc>
    </w:tr>
  </w:tbl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420"/>
  <w:drawingGridHorizontalSpacing w:val="160"/>
  <w:drawingGridVerticalSpacing w:val="43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仿宋_GB2312" w:hAnsi="Times New Roman"/>
      <w:kern w:val="2"/>
      <w:sz w:val="32"/>
      <w:szCs w:val="32"/>
      <w:lang w:val="en-US" w:bidi="ar-SA" w:eastAsia="zh-CN"/>
    </w:rPr>
  </w:style>
  <w:style w:type="character" w:default="1" w:styleId="style65">
    <w:name w:val="Default Paragraph Font"/>
    <w:next w:val="style65"/>
    <w:link w:val="style4097"/>
    <w:qFormat/>
    <w:uiPriority w:val="1"/>
    <w:rPr>
      <w:rFonts w:ascii="Verdana" w:eastAsia="仿宋_GB2312" w:hAnsi="Verdana"/>
      <w:kern w:val="0"/>
      <w:sz w:val="24"/>
      <w:szCs w:val="20"/>
      <w:lang w:eastAsia="en-US"/>
    </w:rPr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0"/>
    <w:pPr>
      <w:autoSpaceDE w:val="false"/>
      <w:autoSpaceDN w:val="false"/>
      <w:adjustRightInd w:val="false"/>
      <w:snapToGrid w:val="false"/>
      <w:spacing w:lineRule="atLeast" w:line="600"/>
    </w:pPr>
    <w:rPr>
      <w:rFonts w:ascii="宋体"/>
      <w:spacing w:val="5"/>
      <w:kern w:val="0"/>
      <w:sz w:val="32"/>
      <w:szCs w:val="20"/>
    </w:rPr>
  </w:style>
  <w:style w:type="paragraph" w:styleId="style90">
    <w:name w:val="Plain Text"/>
    <w:basedOn w:val="style0"/>
    <w:next w:val="style90"/>
    <w:qFormat/>
    <w:uiPriority w:val="0"/>
    <w:pPr/>
    <w:rPr>
      <w:rFonts w:ascii="宋体" w:hAnsi="Courier New"/>
      <w:szCs w:val="20"/>
    </w:rPr>
  </w:style>
  <w:style w:type="paragraph" w:styleId="style76">
    <w:name w:val="Date"/>
    <w:basedOn w:val="style0"/>
    <w:next w:val="style0"/>
    <w:qFormat/>
    <w:uiPriority w:val="0"/>
    <w:pPr/>
    <w:rPr>
      <w:rFonts w:eastAsia="仿宋_GB2312"/>
      <w:spacing w:val="2"/>
      <w:sz w:val="32"/>
      <w:szCs w:val="20"/>
    </w:rPr>
  </w:style>
  <w:style w:type="paragraph" w:styleId="style153">
    <w:name w:val="Balloon Text"/>
    <w:basedOn w:val="style0"/>
    <w:next w:val="style153"/>
    <w:qFormat/>
    <w:uiPriority w:val="0"/>
    <w:pPr/>
    <w:rPr>
      <w:sz w:val="18"/>
      <w:szCs w:val="18"/>
    </w:rPr>
  </w:style>
  <w:style w:type="paragraph" w:styleId="style32">
    <w:name w:val="footer"/>
    <w:basedOn w:val="style0"/>
    <w:next w:val="style32"/>
    <w:link w:val="style4099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100"/>
    <w:qFormat/>
    <w:uiPriority w:val="0"/>
    <w:pP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0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customStyle="1" w:styleId="style4097">
    <w:name w:val=" Char Char Char Char"/>
    <w:basedOn w:val="style0"/>
    <w:next w:val="style4097"/>
    <w:link w:val="style65"/>
    <w:qFormat/>
    <w:uiPriority w:val="0"/>
    <w:pPr>
      <w:widowControl/>
      <w:spacing w:after="160" w:lineRule="exact" w:line="24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styleId="style41">
    <w:name w:val="page number"/>
    <w:basedOn w:val="style65"/>
    <w:next w:val="style41"/>
    <w:qFormat/>
    <w:uiPriority w:val="0"/>
    <w:rPr>
      <w:rFonts w:ascii="Verdana" w:cs="Times New Roman" w:eastAsia="仿宋_GB2312" w:hAnsi="Verdana"/>
      <w:kern w:val="0"/>
      <w:sz w:val="24"/>
      <w:szCs w:val="20"/>
      <w:lang w:eastAsia="en-US"/>
    </w:rPr>
  </w:style>
  <w:style w:type="character" w:styleId="style85">
    <w:name w:val="Hyperlink"/>
    <w:next w:val="style85"/>
    <w:qFormat/>
    <w:uiPriority w:val="99"/>
    <w:rPr>
      <w:rFonts w:cs="Times New Roman"/>
      <w:color w:val="auto"/>
      <w:u w:val="none"/>
    </w:rPr>
  </w:style>
  <w:style w:type="paragraph" w:customStyle="1" w:styleId="style4098">
    <w:name w:val=" Char Char Char Char Char Char Char Char Char Char Char Char Char Char Char Char"/>
    <w:basedOn w:val="style0"/>
    <w:next w:val="style4098"/>
    <w:qFormat/>
    <w:uiPriority w:val="0"/>
    <w:pPr/>
    <w:rPr>
      <w:rFonts w:ascii="仿宋_GB2312"/>
      <w:b/>
    </w:rPr>
  </w:style>
  <w:style w:type="character" w:customStyle="1" w:styleId="style4099">
    <w:name w:val="页脚 Char"/>
    <w:next w:val="style4099"/>
    <w:link w:val="style32"/>
    <w:qFormat/>
    <w:uiPriority w:val="99"/>
    <w:rPr>
      <w:kern w:val="2"/>
      <w:sz w:val="18"/>
      <w:szCs w:val="18"/>
    </w:rPr>
  </w:style>
  <w:style w:type="character" w:customStyle="1" w:styleId="style4100">
    <w:name w:val="页眉 Char"/>
    <w:next w:val="style4100"/>
    <w:link w:val="style31"/>
    <w:qFormat/>
    <w:uiPriority w:val="0"/>
    <w:rPr>
      <w:kern w:val="2"/>
      <w:sz w:val="18"/>
      <w:szCs w:val="18"/>
    </w:rPr>
  </w:style>
  <w:style w:type="character" w:customStyle="1" w:styleId="style4101">
    <w:name w:val="fontstyle01"/>
    <w:basedOn w:val="style65"/>
    <w:next w:val="style4101"/>
    <w:qFormat/>
    <w:uiPriority w:val="0"/>
    <w:rPr>
      <w:rFonts w:ascii="仿宋" w:eastAsia="仿宋" w:hAnsi="仿宋" w:hint="eastAsia"/>
      <w:color w:val="000000"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1428</Words>
  <Pages>1</Pages>
  <Characters>1546</Characters>
  <Application>WPS Office</Application>
  <DocSecurity>0</DocSecurity>
  <Paragraphs>62</Paragraphs>
  <ScaleCrop>false</ScaleCrop>
  <Company>Lenovo (Beijing) Limited</Company>
  <LinksUpToDate>false</LinksUpToDate>
  <CharactersWithSpaces>1569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2013-01-23T08:47:00Z</dcterms:created>
  <dc:creator>User</dc:creator>
  <lastModifiedBy>LE2110</lastModifiedBy>
  <lastPrinted>2021-06-17T06:47:00Z</lastPrinted>
  <dcterms:modified xsi:type="dcterms:W3CDTF">2021-12-03T04:18:29Z</dcterms:modified>
  <revision>8</revision>
  <dc:title>关于召开城投集团污水处理企业交接会议的通知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a2909c3a10dc4f5ba10c9f1449bd1a90</vt:lpwstr>
  </property>
  <property fmtid="{D5CDD505-2E9C-101B-9397-08002B2CF9AE}" pid="4" name="KSOSaveFontToCloudKey">
    <vt:lpwstr>13308191_cloud</vt:lpwstr>
  </property>
</Properties>
</file>